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562A47" w:rsidTr="00562A47">
        <w:trPr>
          <w:tblCellSpacing w:w="0" w:type="dxa"/>
          <w:jc w:val="center"/>
        </w:trPr>
        <w:tc>
          <w:tcPr>
            <w:tcW w:w="0" w:type="auto"/>
            <w:shd w:val="clear" w:color="auto" w:fill="FFFFFF"/>
            <w:vAlign w:val="center"/>
            <w:hideMark/>
          </w:tcPr>
          <w:tbl>
            <w:tblPr>
              <w:tblW w:w="9470" w:type="dxa"/>
              <w:jc w:val="center"/>
              <w:tblCellSpacing w:w="0" w:type="dxa"/>
              <w:shd w:val="clear" w:color="auto" w:fill="FFFFFF"/>
              <w:tblCellMar>
                <w:left w:w="0" w:type="dxa"/>
                <w:right w:w="0" w:type="dxa"/>
              </w:tblCellMar>
              <w:tblLook w:val="04A0" w:firstRow="1" w:lastRow="0" w:firstColumn="1" w:lastColumn="0" w:noHBand="0" w:noVBand="1"/>
            </w:tblPr>
            <w:tblGrid>
              <w:gridCol w:w="9470"/>
            </w:tblGrid>
            <w:tr w:rsidR="00562A47" w:rsidTr="00562A47">
              <w:trPr>
                <w:tblCellSpacing w:w="0" w:type="dxa"/>
                <w:jc w:val="center"/>
              </w:trPr>
              <w:tc>
                <w:tcPr>
                  <w:tcW w:w="0" w:type="auto"/>
                  <w:shd w:val="clear" w:color="auto" w:fill="FFFFFF"/>
                  <w:vAlign w:val="center"/>
                  <w:hideMark/>
                </w:tcPr>
                <w:p w:rsidR="00562A47" w:rsidRDefault="00562A47">
                  <w:pPr>
                    <w:jc w:val="center"/>
                  </w:pPr>
                  <w:r>
                    <w:rPr>
                      <w:rStyle w:val="Strong"/>
                      <w:rFonts w:ascii="Arial" w:hAnsi="Arial" w:cs="Arial"/>
                      <w:color w:val="00B050"/>
                      <w:sz w:val="36"/>
                      <w:szCs w:val="36"/>
                    </w:rPr>
                    <w:t xml:space="preserve">Scoring Workplace Touchdowns: </w:t>
                  </w:r>
                  <w:r>
                    <w:rPr>
                      <w:rFonts w:ascii="Arial" w:hAnsi="Arial" w:cs="Arial"/>
                      <w:b/>
                      <w:bCs/>
                      <w:color w:val="00B050"/>
                      <w:sz w:val="36"/>
                      <w:szCs w:val="36"/>
                    </w:rPr>
                    <w:br/>
                  </w:r>
                  <w:r>
                    <w:rPr>
                      <w:rStyle w:val="Strong"/>
                      <w:rFonts w:ascii="Arial" w:hAnsi="Arial" w:cs="Arial"/>
                      <w:color w:val="00B050"/>
                      <w:sz w:val="36"/>
                      <w:szCs w:val="36"/>
                    </w:rPr>
                    <w:t>Best Strategies for Champion Employers</w:t>
                  </w:r>
                </w:p>
              </w:tc>
            </w:tr>
            <w:tr w:rsidR="00562A47" w:rsidTr="00562A47">
              <w:trPr>
                <w:trHeight w:val="522"/>
                <w:tblCellSpacing w:w="0" w:type="dxa"/>
                <w:jc w:val="center"/>
              </w:trPr>
              <w:tc>
                <w:tcPr>
                  <w:tcW w:w="0" w:type="auto"/>
                  <w:shd w:val="clear" w:color="auto" w:fill="FFFFFF"/>
                  <w:vAlign w:val="center"/>
                  <w:hideMark/>
                </w:tcPr>
                <w:p w:rsidR="00562A47" w:rsidRDefault="00562A47" w:rsidP="00562A47">
                  <w:pPr>
                    <w:jc w:val="center"/>
                  </w:pPr>
                  <w:r>
                    <w:rPr>
                      <w:rStyle w:val="Emphasis"/>
                      <w:rFonts w:ascii="Arial" w:hAnsi="Arial" w:cs="Arial"/>
                    </w:rPr>
                    <w:t>Annual Pacific Northwest Employer Legal Update 2014</w:t>
                  </w:r>
                </w:p>
              </w:tc>
            </w:tr>
            <w:tr w:rsidR="00562A47" w:rsidTr="00562A47">
              <w:trPr>
                <w:tblCellSpacing w:w="0" w:type="dxa"/>
                <w:jc w:val="center"/>
              </w:trPr>
              <w:tc>
                <w:tcPr>
                  <w:tcW w:w="0" w:type="auto"/>
                  <w:shd w:val="clear" w:color="auto" w:fill="FFFFFF"/>
                  <w:hideMark/>
                </w:tcPr>
                <w:p w:rsidR="00562A47" w:rsidRPr="00562A47" w:rsidRDefault="00562A47">
                  <w:pPr>
                    <w:rPr>
                      <w:sz w:val="22"/>
                      <w:szCs w:val="22"/>
                    </w:rPr>
                  </w:pPr>
                  <w:r w:rsidRPr="00562A47">
                    <w:rPr>
                      <w:rFonts w:ascii="Arial" w:hAnsi="Arial" w:cs="Arial"/>
                      <w:color w:val="000000"/>
                      <w:sz w:val="22"/>
                      <w:szCs w:val="22"/>
                    </w:rPr>
                    <w:t xml:space="preserve">Please join Jackson Lewis for our annual half-day program of interactive and informative discussions addressing the latest developments in workplace law. Like our champion Seahawks, champion employers are built on knowledge, preparation and skill. Our team of seasoned attorneys is here to help you strategize for the upcoming year. </w:t>
                  </w:r>
                </w:p>
                <w:p w:rsidR="00562A47" w:rsidRPr="00562A47" w:rsidRDefault="00562A47">
                  <w:pPr>
                    <w:rPr>
                      <w:sz w:val="22"/>
                      <w:szCs w:val="22"/>
                    </w:rPr>
                  </w:pPr>
                  <w:r w:rsidRPr="00562A47">
                    <w:rPr>
                      <w:rStyle w:val="Strong"/>
                      <w:rFonts w:ascii="Arial" w:hAnsi="Arial" w:cs="Arial"/>
                      <w:color w:val="4F81BD"/>
                      <w:sz w:val="22"/>
                      <w:szCs w:val="22"/>
                    </w:rPr>
                    <w:t>Sessions include:</w:t>
                  </w:r>
                </w:p>
                <w:p w:rsidR="00562A47" w:rsidRPr="00562A47" w:rsidRDefault="00562A47" w:rsidP="00F945A9">
                  <w:pPr>
                    <w:numPr>
                      <w:ilvl w:val="0"/>
                      <w:numId w:val="1"/>
                    </w:numPr>
                    <w:rPr>
                      <w:rFonts w:eastAsia="Times New Roman"/>
                      <w:color w:val="000000"/>
                      <w:sz w:val="22"/>
                      <w:szCs w:val="22"/>
                    </w:rPr>
                  </w:pPr>
                  <w:r w:rsidRPr="00562A47">
                    <w:rPr>
                      <w:rFonts w:ascii="Arial" w:eastAsia="Times New Roman" w:hAnsi="Arial" w:cs="Arial"/>
                      <w:color w:val="000000"/>
                      <w:sz w:val="22"/>
                      <w:szCs w:val="22"/>
                    </w:rPr>
                    <w:t xml:space="preserve">The Offensive Line: Proactive Steps for NLRA Compliance </w:t>
                  </w:r>
                </w:p>
                <w:p w:rsidR="00562A47" w:rsidRPr="00562A47" w:rsidRDefault="00562A47" w:rsidP="00F945A9">
                  <w:pPr>
                    <w:numPr>
                      <w:ilvl w:val="0"/>
                      <w:numId w:val="1"/>
                    </w:numPr>
                    <w:rPr>
                      <w:rFonts w:eastAsia="Times New Roman"/>
                      <w:color w:val="000000"/>
                      <w:sz w:val="22"/>
                      <w:szCs w:val="22"/>
                    </w:rPr>
                  </w:pPr>
                  <w:r w:rsidRPr="00562A47">
                    <w:rPr>
                      <w:rFonts w:ascii="Arial" w:eastAsia="Times New Roman" w:hAnsi="Arial" w:cs="Arial"/>
                      <w:color w:val="000000"/>
                      <w:sz w:val="22"/>
                      <w:szCs w:val="22"/>
                    </w:rPr>
                    <w:t xml:space="preserve">New Lines of Scrimmage: Seattle Minimum Wage and Paid Sick Leave </w:t>
                  </w:r>
                </w:p>
                <w:p w:rsidR="00562A47" w:rsidRPr="00562A47" w:rsidRDefault="00562A47" w:rsidP="00F945A9">
                  <w:pPr>
                    <w:numPr>
                      <w:ilvl w:val="0"/>
                      <w:numId w:val="1"/>
                    </w:numPr>
                    <w:rPr>
                      <w:rFonts w:eastAsia="Times New Roman"/>
                      <w:color w:val="000000"/>
                      <w:sz w:val="22"/>
                      <w:szCs w:val="22"/>
                    </w:rPr>
                  </w:pPr>
                  <w:r w:rsidRPr="00562A47">
                    <w:rPr>
                      <w:rFonts w:ascii="Arial" w:eastAsia="Times New Roman" w:hAnsi="Arial" w:cs="Arial"/>
                      <w:color w:val="000000"/>
                      <w:sz w:val="22"/>
                      <w:szCs w:val="22"/>
                    </w:rPr>
                    <w:t xml:space="preserve">The Blitz: Tackling Common Hiring Mistakes </w:t>
                  </w:r>
                </w:p>
                <w:p w:rsidR="00562A47" w:rsidRPr="00562A47" w:rsidRDefault="00562A47" w:rsidP="00F945A9">
                  <w:pPr>
                    <w:numPr>
                      <w:ilvl w:val="0"/>
                      <w:numId w:val="1"/>
                    </w:numPr>
                    <w:rPr>
                      <w:rFonts w:eastAsia="Times New Roman"/>
                      <w:color w:val="000000"/>
                      <w:sz w:val="22"/>
                      <w:szCs w:val="22"/>
                    </w:rPr>
                  </w:pPr>
                  <w:r w:rsidRPr="00562A47">
                    <w:rPr>
                      <w:rFonts w:ascii="Arial" w:eastAsia="Times New Roman" w:hAnsi="Arial" w:cs="Arial"/>
                      <w:color w:val="000000"/>
                      <w:sz w:val="22"/>
                      <w:szCs w:val="22"/>
                    </w:rPr>
                    <w:t xml:space="preserve">The Defensive Line: Conduct Internal Investigations that Succeed in Court </w:t>
                  </w:r>
                </w:p>
                <w:p w:rsidR="00562A47" w:rsidRPr="00562A47" w:rsidRDefault="00562A47" w:rsidP="00F945A9">
                  <w:pPr>
                    <w:numPr>
                      <w:ilvl w:val="0"/>
                      <w:numId w:val="1"/>
                    </w:numPr>
                    <w:rPr>
                      <w:rFonts w:eastAsia="Times New Roman"/>
                      <w:color w:val="000000"/>
                      <w:sz w:val="22"/>
                      <w:szCs w:val="22"/>
                    </w:rPr>
                  </w:pPr>
                  <w:r w:rsidRPr="00562A47">
                    <w:rPr>
                      <w:rFonts w:ascii="Arial" w:eastAsia="Times New Roman" w:hAnsi="Arial" w:cs="Arial"/>
                      <w:color w:val="000000"/>
                      <w:sz w:val="22"/>
                      <w:szCs w:val="22"/>
                    </w:rPr>
                    <w:t xml:space="preserve">Injured Reserve: Managing Disability-Related Misconduct </w:t>
                  </w:r>
                </w:p>
                <w:p w:rsidR="00562A47" w:rsidRPr="00562A47" w:rsidRDefault="00562A47">
                  <w:pPr>
                    <w:rPr>
                      <w:sz w:val="22"/>
                      <w:szCs w:val="22"/>
                    </w:rPr>
                  </w:pPr>
                  <w:r w:rsidRPr="00562A47">
                    <w:rPr>
                      <w:rStyle w:val="Strong"/>
                      <w:rFonts w:ascii="Arial" w:hAnsi="Arial" w:cs="Arial"/>
                      <w:color w:val="4F81BD"/>
                      <w:sz w:val="22"/>
                      <w:szCs w:val="22"/>
                    </w:rPr>
                    <w:t>Who should attend:</w:t>
                  </w:r>
                </w:p>
                <w:p w:rsidR="00562A47" w:rsidRPr="00562A47" w:rsidRDefault="00562A47" w:rsidP="00F945A9">
                  <w:pPr>
                    <w:numPr>
                      <w:ilvl w:val="0"/>
                      <w:numId w:val="2"/>
                    </w:numPr>
                    <w:rPr>
                      <w:rFonts w:eastAsia="Times New Roman"/>
                      <w:color w:val="000000"/>
                      <w:sz w:val="22"/>
                      <w:szCs w:val="22"/>
                    </w:rPr>
                  </w:pPr>
                  <w:r w:rsidRPr="00562A47">
                    <w:rPr>
                      <w:rFonts w:ascii="Arial" w:eastAsia="Times New Roman" w:hAnsi="Arial" w:cs="Arial"/>
                      <w:color w:val="000000"/>
                      <w:sz w:val="22"/>
                      <w:szCs w:val="22"/>
                    </w:rPr>
                    <w:t xml:space="preserve">In-house counsel and decision makers responsible for hiring, employee relations, talent acquisition, performance management and human resources </w:t>
                  </w:r>
                </w:p>
                <w:p w:rsidR="00562A47" w:rsidRDefault="00562A47">
                  <w:r w:rsidRPr="00562A47">
                    <w:rPr>
                      <w:rFonts w:ascii="Arial" w:hAnsi="Arial" w:cs="Arial"/>
                      <w:color w:val="000000"/>
                      <w:sz w:val="22"/>
                      <w:szCs w:val="22"/>
                    </w:rPr>
                    <w:t>Please </w:t>
                  </w:r>
                  <w:hyperlink r:id="rId5" w:tgtFrame="_blank" w:history="1">
                    <w:r w:rsidRPr="00562A47">
                      <w:rPr>
                        <w:rStyle w:val="Hyperlink"/>
                        <w:rFonts w:ascii="Arial" w:hAnsi="Arial" w:cs="Arial"/>
                        <w:color w:val="00B050"/>
                        <w:sz w:val="22"/>
                        <w:szCs w:val="22"/>
                      </w:rPr>
                      <w:t>click here</w:t>
                    </w:r>
                  </w:hyperlink>
                  <w:r w:rsidRPr="00562A47">
                    <w:rPr>
                      <w:rFonts w:ascii="Arial" w:hAnsi="Arial" w:cs="Arial"/>
                      <w:color w:val="000000"/>
                      <w:sz w:val="22"/>
                      <w:szCs w:val="22"/>
                    </w:rPr>
                    <w:t xml:space="preserve"> for a full agenda with session descriptions and speaker information.</w:t>
                  </w:r>
                </w:p>
              </w:tc>
            </w:tr>
            <w:tr w:rsidR="00562A47" w:rsidTr="00562A47">
              <w:trPr>
                <w:trHeight w:val="300"/>
                <w:tblCellSpacing w:w="0" w:type="dxa"/>
                <w:jc w:val="center"/>
              </w:trPr>
              <w:tc>
                <w:tcPr>
                  <w:tcW w:w="0" w:type="auto"/>
                  <w:shd w:val="clear" w:color="auto" w:fill="FFFFFF"/>
                  <w:vAlign w:val="center"/>
                  <w:hideMark/>
                </w:tcPr>
                <w:p w:rsidR="00562A47" w:rsidRPr="00562A47" w:rsidRDefault="00562A47">
                  <w:pPr>
                    <w:rPr>
                      <w:sz w:val="16"/>
                      <w:szCs w:val="16"/>
                    </w:rPr>
                  </w:pPr>
                  <w:r>
                    <w:rPr>
                      <w:rFonts w:ascii="Arial" w:hAnsi="Arial" w:cs="Arial"/>
                      <w:sz w:val="20"/>
                      <w:szCs w:val="20"/>
                    </w:rPr>
                    <w:t> </w:t>
                  </w:r>
                </w:p>
              </w:tc>
            </w:tr>
            <w:tr w:rsidR="00562A47" w:rsidTr="00562A47">
              <w:trPr>
                <w:tblCellSpacing w:w="0" w:type="dxa"/>
                <w:jc w:val="center"/>
              </w:trPr>
              <w:tc>
                <w:tcPr>
                  <w:tcW w:w="0" w:type="auto"/>
                  <w:shd w:val="clear" w:color="auto" w:fill="FFFFFF"/>
                  <w:vAlign w:val="center"/>
                  <w:hideMark/>
                </w:tcPr>
                <w:tbl>
                  <w:tblPr>
                    <w:tblW w:w="9450" w:type="dxa"/>
                    <w:tblCellSpacing w:w="0" w:type="dxa"/>
                    <w:tblBorders>
                      <w:top w:val="outset" w:sz="8" w:space="0" w:color="7A9E27"/>
                      <w:left w:val="outset" w:sz="8" w:space="0" w:color="7A9E27"/>
                      <w:bottom w:val="outset" w:sz="8" w:space="0" w:color="7A9E27"/>
                      <w:right w:val="outset" w:sz="8" w:space="0" w:color="7A9E27"/>
                    </w:tblBorders>
                    <w:tblCellMar>
                      <w:left w:w="0" w:type="dxa"/>
                      <w:right w:w="0" w:type="dxa"/>
                    </w:tblCellMar>
                    <w:tblLook w:val="04A0" w:firstRow="1" w:lastRow="0" w:firstColumn="1" w:lastColumn="0" w:noHBand="0" w:noVBand="1"/>
                  </w:tblPr>
                  <w:tblGrid>
                    <w:gridCol w:w="9450"/>
                  </w:tblGrid>
                  <w:tr w:rsidR="00562A47">
                    <w:trPr>
                      <w:tblCellSpacing w:w="0" w:type="dxa"/>
                    </w:trPr>
                    <w:tc>
                      <w:tcPr>
                        <w:tcW w:w="0" w:type="auto"/>
                        <w:tcBorders>
                          <w:top w:val="outset" w:sz="8" w:space="0" w:color="7A9E27"/>
                          <w:left w:val="outset" w:sz="8" w:space="0" w:color="7A9E27"/>
                          <w:bottom w:val="outset" w:sz="8" w:space="0" w:color="7A9E27"/>
                          <w:right w:val="outset" w:sz="8" w:space="0" w:color="7A9E27"/>
                        </w:tcBorders>
                        <w:vAlign w:val="center"/>
                        <w:hideMark/>
                      </w:tcPr>
                      <w:tbl>
                        <w:tblPr>
                          <w:tblW w:w="9210" w:type="dxa"/>
                          <w:jc w:val="center"/>
                          <w:tblCellSpacing w:w="0" w:type="dxa"/>
                          <w:tblCellMar>
                            <w:left w:w="0" w:type="dxa"/>
                            <w:right w:w="0" w:type="dxa"/>
                          </w:tblCellMar>
                          <w:tblLook w:val="04A0" w:firstRow="1" w:lastRow="0" w:firstColumn="1" w:lastColumn="0" w:noHBand="0" w:noVBand="1"/>
                        </w:tblPr>
                        <w:tblGrid>
                          <w:gridCol w:w="2850"/>
                          <w:gridCol w:w="6360"/>
                        </w:tblGrid>
                        <w:tr w:rsidR="00562A47">
                          <w:trPr>
                            <w:trHeight w:val="450"/>
                            <w:tblCellSpacing w:w="0" w:type="dxa"/>
                            <w:jc w:val="center"/>
                          </w:trPr>
                          <w:tc>
                            <w:tcPr>
                              <w:tcW w:w="2850" w:type="dxa"/>
                              <w:hideMark/>
                            </w:tcPr>
                            <w:p w:rsidR="00562A47" w:rsidRDefault="00562A47">
                              <w:r>
                                <w:rPr>
                                  <w:rStyle w:val="Strong"/>
                                  <w:rFonts w:ascii="Arial" w:hAnsi="Arial" w:cs="Arial"/>
                                  <w:color w:val="245695"/>
                                  <w:sz w:val="18"/>
                                  <w:szCs w:val="18"/>
                                </w:rPr>
                                <w:t>Date/Time:</w:t>
                              </w:r>
                            </w:p>
                          </w:tc>
                          <w:tc>
                            <w:tcPr>
                              <w:tcW w:w="0" w:type="auto"/>
                              <w:hideMark/>
                            </w:tcPr>
                            <w:p w:rsidR="00562A47" w:rsidRDefault="00562A47">
                              <w:r>
                                <w:rPr>
                                  <w:rFonts w:ascii="Arial" w:hAnsi="Arial" w:cs="Arial"/>
                                  <w:color w:val="000000"/>
                                  <w:sz w:val="18"/>
                                  <w:szCs w:val="18"/>
                                </w:rPr>
                                <w:t>Wednesday, November 5, 2014</w:t>
                              </w:r>
                            </w:p>
                            <w:p w:rsidR="00562A47" w:rsidRDefault="00562A47">
                              <w:pPr>
                                <w:spacing w:after="240"/>
                              </w:pPr>
                              <w:r>
                                <w:rPr>
                                  <w:rFonts w:ascii="Arial" w:hAnsi="Arial" w:cs="Arial"/>
                                  <w:color w:val="000000"/>
                                  <w:sz w:val="18"/>
                                  <w:szCs w:val="18"/>
                                </w:rPr>
                                <w:t>Registration: 7:00 a.m. – 7:45 a.m</w:t>
                              </w:r>
                              <w:proofErr w:type="gramStart"/>
                              <w:r>
                                <w:rPr>
                                  <w:rFonts w:ascii="Arial" w:hAnsi="Arial" w:cs="Arial"/>
                                  <w:color w:val="000000"/>
                                  <w:sz w:val="18"/>
                                  <w:szCs w:val="18"/>
                                </w:rPr>
                                <w:t>.</w:t>
                              </w:r>
                              <w:proofErr w:type="gramEnd"/>
                              <w:r>
                                <w:rPr>
                                  <w:rFonts w:ascii="Arial" w:hAnsi="Arial" w:cs="Arial"/>
                                  <w:color w:val="000000"/>
                                  <w:sz w:val="18"/>
                                  <w:szCs w:val="18"/>
                                </w:rPr>
                                <w:br/>
                                <w:t>Program: 7:45 a.m. – 1:30 p.m.</w:t>
                              </w:r>
                              <w:r>
                                <w:rPr>
                                  <w:rFonts w:ascii="Arial" w:hAnsi="Arial" w:cs="Arial"/>
                                  <w:color w:val="000000"/>
                                  <w:sz w:val="18"/>
                                  <w:szCs w:val="18"/>
                                </w:rPr>
                                <w:br/>
                              </w:r>
                              <w:r>
                                <w:rPr>
                                  <w:rFonts w:ascii="Arial" w:hAnsi="Arial" w:cs="Arial"/>
                                  <w:color w:val="000000"/>
                                  <w:sz w:val="18"/>
                                  <w:szCs w:val="18"/>
                                </w:rPr>
                                <w:br/>
                              </w:r>
                              <w:r>
                                <w:rPr>
                                  <w:rStyle w:val="Emphasis"/>
                                  <w:rFonts w:ascii="Arial" w:hAnsi="Arial" w:cs="Arial"/>
                                  <w:color w:val="000000"/>
                                  <w:sz w:val="18"/>
                                  <w:szCs w:val="18"/>
                                </w:rPr>
                                <w:t>Breakfast buffet and afternoon snack will be provided</w:t>
                              </w:r>
                            </w:p>
                          </w:tc>
                        </w:tr>
                        <w:tr w:rsidR="00562A47">
                          <w:trPr>
                            <w:tblCellSpacing w:w="0" w:type="dxa"/>
                            <w:jc w:val="center"/>
                          </w:trPr>
                          <w:tc>
                            <w:tcPr>
                              <w:tcW w:w="0" w:type="auto"/>
                              <w:hideMark/>
                            </w:tcPr>
                            <w:p w:rsidR="00562A47" w:rsidRDefault="00562A47">
                              <w:r>
                                <w:rPr>
                                  <w:rStyle w:val="Strong"/>
                                  <w:rFonts w:ascii="Arial" w:hAnsi="Arial" w:cs="Arial"/>
                                  <w:color w:val="245695"/>
                                  <w:sz w:val="18"/>
                                  <w:szCs w:val="18"/>
                                </w:rPr>
                                <w:t>Location:</w:t>
                              </w:r>
                            </w:p>
                          </w:tc>
                          <w:tc>
                            <w:tcPr>
                              <w:tcW w:w="0" w:type="auto"/>
                              <w:vAlign w:val="center"/>
                              <w:hideMark/>
                            </w:tcPr>
                            <w:p w:rsidR="00562A47" w:rsidRDefault="00562A47">
                              <w:r>
                                <w:rPr>
                                  <w:rFonts w:ascii="Arial" w:hAnsi="Arial" w:cs="Arial"/>
                                  <w:color w:val="000000"/>
                                  <w:sz w:val="18"/>
                                  <w:szCs w:val="18"/>
                                </w:rPr>
                                <w:t xml:space="preserve">Sheraton Seattle Hotel </w:t>
                              </w:r>
                              <w:r>
                                <w:rPr>
                                  <w:rFonts w:ascii="Arial" w:hAnsi="Arial" w:cs="Arial"/>
                                  <w:color w:val="000000"/>
                                  <w:sz w:val="18"/>
                                  <w:szCs w:val="18"/>
                                </w:rPr>
                                <w:br/>
                                <w:t xml:space="preserve">Second Floor Ballroom </w:t>
                              </w:r>
                              <w:r>
                                <w:rPr>
                                  <w:rFonts w:ascii="Arial" w:hAnsi="Arial" w:cs="Arial"/>
                                  <w:color w:val="000000"/>
                                  <w:sz w:val="18"/>
                                  <w:szCs w:val="18"/>
                                </w:rPr>
                                <w:br/>
                                <w:t>1400 Sixth Avenue</w:t>
                              </w:r>
                              <w:r>
                                <w:rPr>
                                  <w:rFonts w:ascii="Arial" w:hAnsi="Arial" w:cs="Arial"/>
                                  <w:color w:val="000000"/>
                                  <w:sz w:val="18"/>
                                  <w:szCs w:val="18"/>
                                </w:rPr>
                                <w:br/>
                                <w:t>Seattle, WA 98101</w:t>
                              </w:r>
                            </w:p>
                          </w:tc>
                        </w:tr>
                        <w:tr w:rsidR="00562A47">
                          <w:trPr>
                            <w:trHeight w:val="450"/>
                            <w:tblCellSpacing w:w="0" w:type="dxa"/>
                            <w:jc w:val="center"/>
                          </w:trPr>
                          <w:tc>
                            <w:tcPr>
                              <w:tcW w:w="0" w:type="auto"/>
                              <w:vAlign w:val="center"/>
                              <w:hideMark/>
                            </w:tcPr>
                            <w:p w:rsidR="00562A47" w:rsidRDefault="00562A47">
                              <w:r>
                                <w:rPr>
                                  <w:rStyle w:val="Strong"/>
                                  <w:rFonts w:ascii="Arial" w:hAnsi="Arial" w:cs="Arial"/>
                                  <w:color w:val="245695"/>
                                  <w:sz w:val="18"/>
                                  <w:szCs w:val="18"/>
                                </w:rPr>
                                <w:t>Fee:</w:t>
                              </w:r>
                            </w:p>
                          </w:tc>
                          <w:tc>
                            <w:tcPr>
                              <w:tcW w:w="0" w:type="auto"/>
                              <w:vAlign w:val="center"/>
                              <w:hideMark/>
                            </w:tcPr>
                            <w:p w:rsidR="00562A47" w:rsidRDefault="00562A47">
                              <w:r>
                                <w:rPr>
                                  <w:rFonts w:ascii="Arial" w:hAnsi="Arial" w:cs="Arial"/>
                                  <w:color w:val="000000"/>
                                  <w:sz w:val="18"/>
                                  <w:szCs w:val="18"/>
                                </w:rPr>
                                <w:t>$65</w:t>
                              </w:r>
                            </w:p>
                          </w:tc>
                        </w:tr>
                        <w:tr w:rsidR="00562A47">
                          <w:trPr>
                            <w:trHeight w:val="450"/>
                            <w:tblCellSpacing w:w="0" w:type="dxa"/>
                            <w:jc w:val="center"/>
                          </w:trPr>
                          <w:tc>
                            <w:tcPr>
                              <w:tcW w:w="0" w:type="auto"/>
                              <w:vAlign w:val="center"/>
                              <w:hideMark/>
                            </w:tcPr>
                            <w:p w:rsidR="00562A47" w:rsidRDefault="00562A47">
                              <w:r>
                                <w:rPr>
                                  <w:rStyle w:val="Strong"/>
                                  <w:rFonts w:ascii="Arial" w:hAnsi="Arial" w:cs="Arial"/>
                                  <w:color w:val="245695"/>
                                  <w:sz w:val="18"/>
                                  <w:szCs w:val="18"/>
                                </w:rPr>
                                <w:t>Credits:</w:t>
                              </w:r>
                            </w:p>
                          </w:tc>
                          <w:tc>
                            <w:tcPr>
                              <w:tcW w:w="0" w:type="auto"/>
                              <w:vAlign w:val="center"/>
                              <w:hideMark/>
                            </w:tcPr>
                            <w:p w:rsidR="00562A47" w:rsidRDefault="00562A47">
                              <w:r>
                                <w:rPr>
                                  <w:rFonts w:ascii="Arial" w:hAnsi="Arial" w:cs="Arial"/>
                                  <w:color w:val="000000"/>
                                  <w:sz w:val="18"/>
                                  <w:szCs w:val="18"/>
                                </w:rPr>
                                <w:t>5.0 HRCI and Washington CLE credits pending</w:t>
                              </w:r>
                            </w:p>
                          </w:tc>
                        </w:tr>
                      </w:tbl>
                      <w:p w:rsidR="00562A47" w:rsidRDefault="00562A47">
                        <w:pPr>
                          <w:jc w:val="center"/>
                          <w:rPr>
                            <w:rFonts w:eastAsia="Times New Roman"/>
                            <w:sz w:val="20"/>
                            <w:szCs w:val="20"/>
                          </w:rPr>
                        </w:pPr>
                      </w:p>
                    </w:tc>
                  </w:tr>
                </w:tbl>
                <w:p w:rsidR="00562A47" w:rsidRDefault="00562A47">
                  <w:pPr>
                    <w:rPr>
                      <w:rFonts w:eastAsia="Times New Roman"/>
                      <w:sz w:val="20"/>
                      <w:szCs w:val="20"/>
                    </w:rPr>
                  </w:pPr>
                </w:p>
              </w:tc>
            </w:tr>
            <w:tr w:rsidR="00562A47" w:rsidTr="00562A47">
              <w:trPr>
                <w:trHeight w:val="720"/>
                <w:tblCellSpacing w:w="0" w:type="dxa"/>
                <w:jc w:val="center"/>
              </w:trPr>
              <w:tc>
                <w:tcPr>
                  <w:tcW w:w="0" w:type="auto"/>
                  <w:shd w:val="clear" w:color="auto" w:fill="FFFFFF"/>
                  <w:vAlign w:val="center"/>
                  <w:hideMark/>
                </w:tcPr>
                <w:p w:rsidR="00562A47" w:rsidRDefault="00562A47">
                  <w:pPr>
                    <w:jc w:val="center"/>
                  </w:pPr>
                  <w:hyperlink r:id="rId6" w:tgtFrame="_blank" w:history="1">
                    <w:r>
                      <w:rPr>
                        <w:rStyle w:val="Hyperlink"/>
                        <w:rFonts w:ascii="Arial" w:hAnsi="Arial" w:cs="Arial"/>
                        <w:b/>
                        <w:bCs/>
                        <w:color w:val="0000FF"/>
                        <w:sz w:val="36"/>
                        <w:szCs w:val="36"/>
                      </w:rPr>
                      <w:t>Reserve your spot today – click here to register!</w:t>
                    </w:r>
                  </w:hyperlink>
                </w:p>
              </w:tc>
            </w:tr>
            <w:tr w:rsidR="00562A47" w:rsidTr="00562A47">
              <w:trPr>
                <w:tblCellSpacing w:w="0" w:type="dxa"/>
                <w:jc w:val="center"/>
              </w:trPr>
              <w:tc>
                <w:tcPr>
                  <w:tcW w:w="0" w:type="auto"/>
                  <w:shd w:val="clear" w:color="auto" w:fill="FFFFFF"/>
                  <w:vAlign w:val="center"/>
                  <w:hideMark/>
                </w:tcPr>
                <w:p w:rsidR="00562A47" w:rsidRDefault="00562A47">
                  <w:pPr>
                    <w:jc w:val="center"/>
                  </w:pPr>
                  <w:r>
                    <w:rPr>
                      <w:rStyle w:val="Strong"/>
                      <w:rFonts w:ascii="Arial" w:hAnsi="Arial" w:cs="Arial"/>
                      <w:color w:val="245695"/>
                      <w:sz w:val="20"/>
                      <w:szCs w:val="20"/>
                    </w:rPr>
                    <w:t xml:space="preserve">Questions? Please contact </w:t>
                  </w:r>
                  <w:hyperlink r:id="rId7" w:history="1">
                    <w:r>
                      <w:rPr>
                        <w:rStyle w:val="Hyperlink"/>
                        <w:rFonts w:ascii="Arial" w:hAnsi="Arial" w:cs="Arial"/>
                        <w:b/>
                        <w:bCs/>
                        <w:color w:val="00B050"/>
                        <w:sz w:val="20"/>
                        <w:szCs w:val="20"/>
                      </w:rPr>
                      <w:t>SeattleRSVP@jacksonlewis.com</w:t>
                    </w:r>
                  </w:hyperlink>
                  <w:r>
                    <w:rPr>
                      <w:rStyle w:val="Strong"/>
                      <w:rFonts w:ascii="Arial" w:hAnsi="Arial" w:cs="Arial"/>
                      <w:color w:val="00B050"/>
                      <w:sz w:val="20"/>
                      <w:szCs w:val="20"/>
                    </w:rPr>
                    <w:t>.</w:t>
                  </w:r>
                </w:p>
              </w:tc>
            </w:tr>
            <w:tr w:rsidR="00562A47" w:rsidTr="00562A47">
              <w:trPr>
                <w:trHeight w:val="900"/>
                <w:tblCellSpacing w:w="0" w:type="dxa"/>
                <w:jc w:val="center"/>
              </w:trPr>
              <w:tc>
                <w:tcPr>
                  <w:tcW w:w="0" w:type="auto"/>
                  <w:shd w:val="clear" w:color="auto" w:fill="FFFFFF"/>
                  <w:vAlign w:val="center"/>
                  <w:hideMark/>
                </w:tcPr>
                <w:p w:rsidR="00562A47" w:rsidRDefault="00562A47">
                  <w:pPr>
                    <w:jc w:val="center"/>
                    <w:rPr>
                      <w:rFonts w:eastAsia="Times New Roman"/>
                    </w:rPr>
                  </w:pPr>
                  <w:r>
                    <w:rPr>
                      <w:rFonts w:eastAsia="Times New Roman"/>
                    </w:rPr>
                    <w:pict>
                      <v:rect id="_x0000_i1025" style="width:468pt;height:2.25pt" o:hralign="center" o:hrstd="t" o:hrnoshade="t" o:hr="t" fillcolor="#d8d8d8" stroked="f"/>
                    </w:pict>
                  </w:r>
                </w:p>
                <w:tbl>
                  <w:tblPr>
                    <w:tblW w:w="0" w:type="auto"/>
                    <w:tblCellSpacing w:w="22" w:type="dxa"/>
                    <w:tblCellMar>
                      <w:left w:w="0" w:type="dxa"/>
                      <w:right w:w="0" w:type="dxa"/>
                    </w:tblCellMar>
                    <w:tblLook w:val="04A0" w:firstRow="1" w:lastRow="0" w:firstColumn="1" w:lastColumn="0" w:noHBand="0" w:noVBand="1"/>
                  </w:tblPr>
                  <w:tblGrid>
                    <w:gridCol w:w="1236"/>
                    <w:gridCol w:w="6044"/>
                    <w:gridCol w:w="2190"/>
                  </w:tblGrid>
                  <w:tr w:rsidR="00562A47">
                    <w:trPr>
                      <w:tblCellSpacing w:w="22" w:type="dxa"/>
                    </w:trPr>
                    <w:tc>
                      <w:tcPr>
                        <w:tcW w:w="0" w:type="auto"/>
                        <w:tcMar>
                          <w:top w:w="15" w:type="dxa"/>
                          <w:left w:w="15" w:type="dxa"/>
                          <w:bottom w:w="15" w:type="dxa"/>
                          <w:right w:w="15" w:type="dxa"/>
                        </w:tcMar>
                        <w:vAlign w:val="center"/>
                        <w:hideMark/>
                      </w:tcPr>
                      <w:p w:rsidR="00562A47" w:rsidRDefault="00562A47">
                        <w:r>
                          <w:rPr>
                            <w:rFonts w:ascii="Arial" w:hAnsi="Arial" w:cs="Arial"/>
                            <w:noProof/>
                            <w:sz w:val="20"/>
                            <w:szCs w:val="20"/>
                          </w:rPr>
                          <w:drawing>
                            <wp:inline distT="0" distB="0" distL="0" distR="0">
                              <wp:extent cx="714375" cy="723900"/>
                              <wp:effectExtent l="0" t="0" r="9525" b="0"/>
                              <wp:docPr id="2" name="Picture 2" descr="http://jlmarketing.jacksonlewis.com/rs/emsimages/BLF-LFOTY-2014-Litigation-Labor-&amp;-Employment-E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lmarketing.jacksonlewis.com/rs/emsimages/BLF-LFOTY-2014-Litigation-Labor-&amp;-Employment-EBLA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6000" w:type="dxa"/>
                        <w:tcMar>
                          <w:top w:w="15" w:type="dxa"/>
                          <w:left w:w="15" w:type="dxa"/>
                          <w:bottom w:w="15" w:type="dxa"/>
                          <w:right w:w="15" w:type="dxa"/>
                        </w:tcMar>
                        <w:vAlign w:val="center"/>
                        <w:hideMark/>
                      </w:tcPr>
                      <w:p w:rsidR="00562A47" w:rsidRDefault="00562A47">
                        <w:r>
                          <w:rPr>
                            <w:rFonts w:ascii="Arial" w:hAnsi="Arial" w:cs="Arial"/>
                            <w:sz w:val="20"/>
                            <w:szCs w:val="20"/>
                          </w:rPr>
                          <w:t> </w:t>
                        </w:r>
                      </w:p>
                    </w:tc>
                    <w:tc>
                      <w:tcPr>
                        <w:tcW w:w="0" w:type="auto"/>
                        <w:tcMar>
                          <w:top w:w="15" w:type="dxa"/>
                          <w:left w:w="15" w:type="dxa"/>
                          <w:bottom w:w="15" w:type="dxa"/>
                          <w:right w:w="15" w:type="dxa"/>
                        </w:tcMar>
                        <w:vAlign w:val="center"/>
                        <w:hideMark/>
                      </w:tcPr>
                      <w:p w:rsidR="00562A47" w:rsidRDefault="00562A47">
                        <w:r>
                          <w:rPr>
                            <w:rFonts w:ascii="Arial" w:hAnsi="Arial" w:cs="Arial"/>
                            <w:color w:val="C00000"/>
                            <w:sz w:val="17"/>
                            <w:szCs w:val="17"/>
                          </w:rPr>
                          <w:t>ATTORNEY ADVERTISING</w:t>
                        </w:r>
                        <w:r>
                          <w:rPr>
                            <w:rFonts w:ascii="Arial" w:hAnsi="Arial" w:cs="Arial"/>
                            <w:sz w:val="20"/>
                            <w:szCs w:val="20"/>
                          </w:rPr>
                          <w:t>  </w:t>
                        </w:r>
                      </w:p>
                    </w:tc>
                  </w:tr>
                </w:tbl>
                <w:p w:rsidR="00562A47" w:rsidRDefault="00562A47"/>
              </w:tc>
            </w:tr>
            <w:tr w:rsidR="00562A47" w:rsidTr="00562A47">
              <w:trPr>
                <w:tblCellSpacing w:w="0" w:type="dxa"/>
                <w:jc w:val="center"/>
              </w:trPr>
              <w:tc>
                <w:tcPr>
                  <w:tcW w:w="0" w:type="auto"/>
                  <w:shd w:val="clear" w:color="auto" w:fill="FFFFFF"/>
                  <w:vAlign w:val="center"/>
                  <w:hideMark/>
                </w:tcPr>
                <w:p w:rsidR="00562A47" w:rsidRDefault="00562A47">
                  <w:r>
                    <w:rPr>
                      <w:rStyle w:val="Strong"/>
                      <w:rFonts w:ascii="Arial" w:hAnsi="Arial" w:cs="Arial"/>
                      <w:sz w:val="18"/>
                      <w:szCs w:val="18"/>
                    </w:rPr>
                    <w:t>Jackson Lewis reserves the right to refuse participation to anyone other than a bona fide management representative.</w:t>
                  </w:r>
                  <w:r>
                    <w:rPr>
                      <w:rStyle w:val="Strong"/>
                      <w:rFonts w:ascii="Arial" w:hAnsi="Arial" w:cs="Arial"/>
                      <w:sz w:val="18"/>
                      <w:szCs w:val="18"/>
                    </w:rPr>
                    <w:t xml:space="preserve">  </w:t>
                  </w:r>
                  <w:r>
                    <w:rPr>
                      <w:rFonts w:ascii="Arial" w:hAnsi="Arial" w:cs="Arial"/>
                      <w:sz w:val="18"/>
                      <w:szCs w:val="18"/>
                    </w:rPr>
                    <w:t>The materials contained in this E-subscription Service Legal Update are for informational purposes only and not for the purpose of providing legal advice. For advice about a particular problem or situation, please contact an attorney of your choice. Use of and access to this email service do not create an attorney-client relationship between Jackson Lewis and the recipient, reader, or user. The opinions expressed in this email service are the opinions of the individual author and may not reflect the opinions of the firm or any individual attorney. This email may be considered attorney advertising in some states. Furthermore, prior results do not guarantee a similar outcome.</w:t>
                  </w:r>
                </w:p>
                <w:p w:rsidR="00562A47" w:rsidRDefault="00562A47">
                  <w:r>
                    <w:rPr>
                      <w:rFonts w:ascii="Arial" w:hAnsi="Arial" w:cs="Arial"/>
                      <w:sz w:val="18"/>
                      <w:szCs w:val="18"/>
                    </w:rPr>
                    <w:t xml:space="preserve">Copyright, 2014 Jackson Lewis P.C. | </w:t>
                  </w:r>
                  <w:hyperlink r:id="rId9" w:tgtFrame="_blank" w:history="1">
                    <w:r>
                      <w:rPr>
                        <w:rStyle w:val="Hyperlink"/>
                        <w:rFonts w:ascii="Arial" w:hAnsi="Arial" w:cs="Arial"/>
                        <w:color w:val="515151"/>
                        <w:sz w:val="18"/>
                        <w:szCs w:val="18"/>
                      </w:rPr>
                      <w:t>www.jacksonlewis.com</w:t>
                    </w:r>
                  </w:hyperlink>
                  <w:r>
                    <w:rPr>
                      <w:rFonts w:ascii="Arial" w:hAnsi="Arial" w:cs="Arial"/>
                      <w:sz w:val="18"/>
                      <w:szCs w:val="18"/>
                    </w:rPr>
                    <w:t xml:space="preserve"> | </w:t>
                  </w:r>
                  <w:r>
                    <w:rPr>
                      <w:rStyle w:val="Emphasis"/>
                      <w:rFonts w:ascii="Arial" w:hAnsi="Arial" w:cs="Arial"/>
                      <w:sz w:val="18"/>
                      <w:szCs w:val="18"/>
                    </w:rPr>
                    <w:t>All we do is work</w:t>
                  </w:r>
                  <w:r>
                    <w:rPr>
                      <w:rFonts w:ascii="Arial" w:hAnsi="Arial" w:cs="Arial"/>
                      <w:sz w:val="18"/>
                      <w:szCs w:val="18"/>
                    </w:rPr>
                    <w:t>®</w:t>
                  </w:r>
                  <w:r>
                    <w:rPr>
                      <w:rFonts w:ascii="Arial" w:hAnsi="Arial" w:cs="Arial"/>
                      <w:sz w:val="20"/>
                      <w:szCs w:val="20"/>
                    </w:rPr>
                    <w:t> </w:t>
                  </w:r>
                </w:p>
              </w:tc>
            </w:tr>
          </w:tbl>
          <w:p w:rsidR="00562A47" w:rsidRDefault="00562A47">
            <w:pPr>
              <w:jc w:val="center"/>
              <w:rPr>
                <w:rFonts w:eastAsia="Times New Roman"/>
                <w:sz w:val="20"/>
                <w:szCs w:val="20"/>
              </w:rPr>
            </w:pPr>
          </w:p>
        </w:tc>
      </w:tr>
    </w:tbl>
    <w:p w:rsidR="00BC4700" w:rsidRDefault="00BC4700">
      <w:bookmarkStart w:id="0" w:name="_GoBack"/>
      <w:bookmarkEnd w:id="0"/>
    </w:p>
    <w:sectPr w:rsidR="00BC4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2783B"/>
    <w:multiLevelType w:val="multilevel"/>
    <w:tmpl w:val="7916D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768193C"/>
    <w:multiLevelType w:val="multilevel"/>
    <w:tmpl w:val="7674B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47"/>
    <w:rsid w:val="00562A47"/>
    <w:rsid w:val="00BC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FE56E-0D0B-4A24-AC87-D74636A7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A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A47"/>
    <w:rPr>
      <w:color w:val="000000"/>
      <w:u w:val="single"/>
    </w:rPr>
  </w:style>
  <w:style w:type="character" w:styleId="Strong">
    <w:name w:val="Strong"/>
    <w:basedOn w:val="DefaultParagraphFont"/>
    <w:uiPriority w:val="22"/>
    <w:qFormat/>
    <w:rsid w:val="00562A47"/>
    <w:rPr>
      <w:b/>
      <w:bCs/>
    </w:rPr>
  </w:style>
  <w:style w:type="character" w:styleId="Emphasis">
    <w:name w:val="Emphasis"/>
    <w:basedOn w:val="DefaultParagraphFont"/>
    <w:uiPriority w:val="20"/>
    <w:qFormat/>
    <w:rsid w:val="00562A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5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eattleRSVP@jacksonlew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lmarketing.jacksonlewis.com/reaction/RSGenPage.asp?RSID=0dEIt-Dke-gnbiJnTynJBLAReJcwyzyixV60k3gcVWucj6PGPLP5IwyzTNKLF2Nc&amp;RS_REFERRSID=_U4DGg9WH2orq6xDLEDh2frGwcih_0WMjT6KAMqz_xcxAuuYiE4fm0L8cnypCdJk&amp;RS_ORIGRSID=_U4DGg9WH2orq6xDLEDh2frGwcih_0WMjT6KAMqz_xcxAuuYiE4fm0L8cnypCdJk" TargetMode="External"/><Relationship Id="rId11" Type="http://schemas.openxmlformats.org/officeDocument/2006/relationships/theme" Target="theme/theme1.xml"/><Relationship Id="rId5" Type="http://schemas.openxmlformats.org/officeDocument/2006/relationships/hyperlink" Target="http://jlmarketing.jacksonlewis.com/rs/ct.aspx?ct=24F76C1DD5E30AEDC1D180ABD42C991DDABE6B92E3B235ED69D75E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lmarketing.jacksonlewis.com/rs/ct.aspx?ct=24F76C1DD5E30AEDC1D180ABD42C991DDABE4381EFBA2EF775DE474457C9F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Port of Tacoma</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Nicole</dc:creator>
  <cp:keywords/>
  <dc:description/>
  <cp:lastModifiedBy>Davis, Nicole</cp:lastModifiedBy>
  <cp:revision>1</cp:revision>
  <dcterms:created xsi:type="dcterms:W3CDTF">2014-10-27T21:29:00Z</dcterms:created>
  <dcterms:modified xsi:type="dcterms:W3CDTF">2014-10-27T21:31:00Z</dcterms:modified>
</cp:coreProperties>
</file>